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25D68">
      <w:pPr>
        <w:spacing w:afterLines="100"/>
        <w:rPr>
          <w:rFonts w:hint="eastAsia" w:ascii="Times New Roman" w:hAnsi="Times New Roman" w:eastAsia="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7D7671B0">
      <w:pPr>
        <w:spacing w:afterLines="100"/>
        <w:rPr>
          <w:rFonts w:ascii="Times New Roman" w:hAnsi="Times New Roman" w:eastAsia="仿宋_GB2312"/>
          <w:kern w:val="0"/>
          <w:sz w:val="32"/>
          <w:szCs w:val="32"/>
        </w:rPr>
      </w:pPr>
    </w:p>
    <w:p w14:paraId="6088C7BF">
      <w:pPr>
        <w:spacing w:afterLines="100"/>
        <w:rPr>
          <w:rFonts w:ascii="Times New Roman" w:hAnsi="Times New Roman" w:eastAsia="仿宋_GB2312"/>
          <w:kern w:val="0"/>
          <w:sz w:val="32"/>
          <w:szCs w:val="32"/>
        </w:rPr>
      </w:pPr>
    </w:p>
    <w:p w14:paraId="349DF6BD">
      <w:pPr>
        <w:rPr>
          <w:rFonts w:ascii="Times New Roman" w:hAnsi="Times New Roman" w:eastAsia="方正小标宋简体"/>
          <w:sz w:val="48"/>
          <w:szCs w:val="48"/>
        </w:rPr>
      </w:pPr>
    </w:p>
    <w:p w14:paraId="36BB47EE">
      <w:pPr>
        <w:rPr>
          <w:rFonts w:ascii="Times New Roman" w:hAnsi="Times New Roman" w:eastAsia="方正小标宋简体"/>
          <w:sz w:val="48"/>
          <w:szCs w:val="48"/>
        </w:rPr>
      </w:pPr>
    </w:p>
    <w:p w14:paraId="73A0B973">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0D99B6A2">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282A12D2">
      <w:pPr>
        <w:jc w:val="center"/>
        <w:rPr>
          <w:rFonts w:ascii="Times New Roman" w:hAnsi="Times New Roman" w:eastAsia="黑体"/>
          <w:sz w:val="32"/>
          <w:szCs w:val="32"/>
        </w:rPr>
      </w:pPr>
    </w:p>
    <w:p w14:paraId="1FB4D311">
      <w:pPr>
        <w:jc w:val="center"/>
        <w:rPr>
          <w:rFonts w:ascii="Times New Roman" w:hAnsi="Times New Roman" w:eastAsia="黑体"/>
          <w:sz w:val="32"/>
          <w:szCs w:val="32"/>
        </w:rPr>
      </w:pPr>
    </w:p>
    <w:p w14:paraId="384B98E7">
      <w:pPr>
        <w:jc w:val="center"/>
        <w:rPr>
          <w:rFonts w:ascii="Times New Roman" w:hAnsi="Times New Roman" w:eastAsia="黑体"/>
          <w:sz w:val="32"/>
          <w:szCs w:val="32"/>
        </w:rPr>
      </w:pPr>
    </w:p>
    <w:p w14:paraId="45227717">
      <w:pPr>
        <w:jc w:val="center"/>
        <w:rPr>
          <w:rFonts w:ascii="Times New Roman" w:hAnsi="Times New Roman" w:eastAsia="黑体"/>
          <w:sz w:val="32"/>
          <w:szCs w:val="32"/>
        </w:rPr>
      </w:pPr>
    </w:p>
    <w:p w14:paraId="5D2E94EB">
      <w:pPr>
        <w:rPr>
          <w:rFonts w:ascii="Times New Roman" w:hAnsi="Times New Roman" w:eastAsia="黑体"/>
          <w:sz w:val="32"/>
          <w:szCs w:val="32"/>
        </w:rPr>
      </w:pPr>
    </w:p>
    <w:p w14:paraId="32D78E1D">
      <w:pPr>
        <w:jc w:val="center"/>
        <w:rPr>
          <w:rFonts w:ascii="Times New Roman" w:hAnsi="Times New Roman"/>
          <w:sz w:val="36"/>
          <w:szCs w:val="36"/>
        </w:rPr>
      </w:pPr>
    </w:p>
    <w:p w14:paraId="090474C2">
      <w:pPr>
        <w:jc w:val="center"/>
        <w:rPr>
          <w:rFonts w:ascii="Times New Roman" w:hAnsi="Times New Roman"/>
          <w:sz w:val="36"/>
          <w:szCs w:val="36"/>
        </w:rPr>
      </w:pPr>
    </w:p>
    <w:p w14:paraId="00B8BF4B">
      <w:pPr>
        <w:jc w:val="center"/>
        <w:rPr>
          <w:rFonts w:ascii="Times New Roman" w:hAnsi="Times New Roman"/>
          <w:sz w:val="36"/>
          <w:szCs w:val="36"/>
        </w:rPr>
      </w:pPr>
    </w:p>
    <w:p w14:paraId="2CA08A25">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：衡阳市医疗保障局（盖章）</w:t>
      </w:r>
    </w:p>
    <w:p w14:paraId="78C7C33C">
      <w:pPr>
        <w:jc w:val="center"/>
        <w:rPr>
          <w:rFonts w:ascii="Times New Roman" w:hAnsi="Times New Roman" w:eastAsia="黑体"/>
          <w:sz w:val="36"/>
          <w:szCs w:val="36"/>
        </w:rPr>
      </w:pPr>
    </w:p>
    <w:p w14:paraId="2DE9364A">
      <w:pPr>
        <w:jc w:val="center"/>
        <w:rPr>
          <w:rFonts w:ascii="Times New Roman" w:hAnsi="Times New Roman" w:eastAsia="黑体"/>
          <w:sz w:val="32"/>
          <w:szCs w:val="32"/>
        </w:rPr>
      </w:pPr>
      <w:r>
        <w:rPr>
          <w:rFonts w:hint="eastAsia" w:ascii="Times New Roman" w:hAnsi="Times New Roman" w:eastAsia="黑体"/>
          <w:sz w:val="32"/>
          <w:szCs w:val="32"/>
          <w:lang w:val="en-US" w:eastAsia="zh-CN"/>
        </w:rPr>
        <w:t xml:space="preserve">2025 </w:t>
      </w:r>
      <w:r>
        <w:rPr>
          <w:rFonts w:ascii="Times New Roman" w:hAnsi="Times New Roman" w:eastAsia="黑体"/>
          <w:sz w:val="32"/>
          <w:szCs w:val="32"/>
        </w:rPr>
        <w:t xml:space="preserve">年 </w:t>
      </w:r>
      <w:r>
        <w:rPr>
          <w:rFonts w:hint="eastAsia" w:ascii="Times New Roman" w:hAnsi="Times New Roman" w:eastAsia="黑体"/>
          <w:sz w:val="32"/>
          <w:szCs w:val="32"/>
          <w:lang w:val="en-US" w:eastAsia="zh-CN"/>
        </w:rPr>
        <w:t>2</w:t>
      </w:r>
      <w:r>
        <w:rPr>
          <w:rFonts w:ascii="Times New Roman" w:hAnsi="Times New Roman" w:eastAsia="黑体"/>
          <w:sz w:val="32"/>
          <w:szCs w:val="32"/>
        </w:rPr>
        <w:t xml:space="preserve"> 月 </w:t>
      </w:r>
      <w:r>
        <w:rPr>
          <w:rFonts w:hint="eastAsia" w:ascii="Times New Roman" w:hAnsi="Times New Roman" w:eastAsia="黑体"/>
          <w:sz w:val="32"/>
          <w:szCs w:val="32"/>
          <w:lang w:val="en-US" w:eastAsia="zh-CN"/>
        </w:rPr>
        <w:t>24</w:t>
      </w:r>
      <w:r>
        <w:rPr>
          <w:rFonts w:hint="eastAsia" w:ascii="Times New Roman" w:hAnsi="Times New Roman" w:eastAsia="黑体"/>
          <w:sz w:val="32"/>
          <w:szCs w:val="32"/>
        </w:rPr>
        <w:t xml:space="preserve"> </w:t>
      </w:r>
      <w:r>
        <w:rPr>
          <w:rFonts w:ascii="Times New Roman" w:hAnsi="Times New Roman" w:eastAsia="黑体"/>
          <w:sz w:val="32"/>
          <w:szCs w:val="32"/>
        </w:rPr>
        <w:t>日</w:t>
      </w:r>
    </w:p>
    <w:p w14:paraId="2372E367">
      <w:pPr>
        <w:pStyle w:val="2"/>
        <w:rPr>
          <w:rFonts w:ascii="Times New Roman" w:hAnsi="Times New Roman" w:eastAsia="黑体"/>
          <w:sz w:val="32"/>
          <w:szCs w:val="32"/>
        </w:rPr>
      </w:pPr>
    </w:p>
    <w:p w14:paraId="20A66AE2">
      <w:pPr>
        <w:pStyle w:val="3"/>
      </w:pPr>
    </w:p>
    <w:p w14:paraId="600BACEF">
      <w:pPr>
        <w:spacing w:line="600" w:lineRule="exact"/>
        <w:jc w:val="both"/>
        <w:rPr>
          <w:rFonts w:ascii="Times New Roman" w:hAnsi="Times New Roman" w:eastAsia="方正小标宋简体"/>
          <w:sz w:val="44"/>
          <w:szCs w:val="44"/>
        </w:rPr>
      </w:pPr>
    </w:p>
    <w:p w14:paraId="2DCFC0F7">
      <w:pPr>
        <w:keepNext w:val="0"/>
        <w:keepLines w:val="0"/>
        <w:pageBreakBefore w:val="0"/>
        <w:kinsoku/>
        <w:wordWrap/>
        <w:topLinePunct w:val="0"/>
        <w:bidi w:val="0"/>
        <w:snapToGrid/>
        <w:spacing w:line="560" w:lineRule="exact"/>
        <w:jc w:val="center"/>
        <w:rPr>
          <w:rFonts w:ascii="Times New Roman" w:hAnsi="Times New Roman" w:eastAsia="方正小标宋简体"/>
          <w:sz w:val="44"/>
          <w:szCs w:val="44"/>
        </w:rPr>
      </w:pPr>
    </w:p>
    <w:p w14:paraId="646F2772">
      <w:pPr>
        <w:keepNext w:val="0"/>
        <w:keepLines w:val="0"/>
        <w:pageBreakBefore w:val="0"/>
        <w:kinsoku/>
        <w:wordWrap/>
        <w:topLinePunct w:val="0"/>
        <w:bidi w:val="0"/>
        <w:snapToGrid/>
        <w:spacing w:line="560" w:lineRule="exact"/>
        <w:jc w:val="center"/>
        <w:rPr>
          <w:rFonts w:ascii="Times New Roman" w:hAnsi="Times New Roman" w:eastAsia="方正小标宋简体"/>
          <w:sz w:val="44"/>
          <w:szCs w:val="44"/>
        </w:rPr>
      </w:pPr>
      <w:bookmarkStart w:id="0" w:name="_GoBack"/>
      <w:bookmarkEnd w:id="0"/>
      <w:r>
        <w:rPr>
          <w:rFonts w:ascii="Times New Roman" w:hAnsi="Times New Roman" w:eastAsia="方正小标宋简体"/>
          <w:sz w:val="44"/>
          <w:szCs w:val="44"/>
        </w:rPr>
        <w:t>部门整体支出绩效自评报告</w:t>
      </w:r>
    </w:p>
    <w:p w14:paraId="35E6F2F8">
      <w:pPr>
        <w:pStyle w:val="2"/>
      </w:pPr>
    </w:p>
    <w:p w14:paraId="217FEF63">
      <w:pPr>
        <w:pStyle w:val="8"/>
        <w:keepNext w:val="0"/>
        <w:keepLines w:val="0"/>
        <w:pageBreakBefore w:val="0"/>
        <w:widowControl/>
        <w:numPr>
          <w:ilvl w:val="0"/>
          <w:numId w:val="1"/>
        </w:numPr>
        <w:tabs>
          <w:tab w:val="center" w:pos="4153"/>
        </w:tabs>
        <w:kinsoku/>
        <w:wordWrap/>
        <w:topLinePunct w:val="0"/>
        <w:bidi w:val="0"/>
        <w:snapToGrid/>
        <w:spacing w:line="560" w:lineRule="exact"/>
        <w:ind w:firstLine="640"/>
        <w:rPr>
          <w:rFonts w:hint="eastAsia" w:eastAsia="黑体"/>
          <w:sz w:val="32"/>
          <w:szCs w:val="32"/>
          <w:lang w:eastAsia="zh-CN"/>
        </w:rPr>
      </w:pPr>
      <w:r>
        <w:rPr>
          <w:rFonts w:eastAsia="黑体"/>
          <w:sz w:val="32"/>
          <w:szCs w:val="32"/>
        </w:rPr>
        <w:t>部门、单位基本情况</w:t>
      </w:r>
      <w:r>
        <w:rPr>
          <w:rFonts w:hint="eastAsia" w:eastAsia="黑体"/>
          <w:sz w:val="32"/>
          <w:szCs w:val="32"/>
          <w:lang w:eastAsia="zh-CN"/>
        </w:rPr>
        <w:tab/>
      </w:r>
    </w:p>
    <w:p w14:paraId="632010A3">
      <w:pPr>
        <w:keepNext w:val="0"/>
        <w:keepLines w:val="0"/>
        <w:pageBreakBefore w:val="0"/>
        <w:numPr>
          <w:ilvl w:val="0"/>
          <w:numId w:val="0"/>
        </w:numPr>
        <w:kinsoku/>
        <w:wordWrap/>
        <w:topLinePunct w:val="0"/>
        <w:autoSpaceDE w:val="0"/>
        <w:autoSpaceDN w:val="0"/>
        <w:bidi w:val="0"/>
        <w:adjustRightInd w:val="0"/>
        <w:snapToGrid/>
        <w:spacing w:line="560" w:lineRule="exact"/>
        <w:ind w:firstLine="640" w:firstLineChars="200"/>
        <w:rPr>
          <w:rFonts w:ascii="仿宋" w:hAnsi="Times New Roman" w:eastAsia="仿宋" w:cs="仿宋"/>
          <w:sz w:val="32"/>
          <w:szCs w:val="32"/>
          <w:lang w:val="zh-CN"/>
        </w:rPr>
      </w:pPr>
      <w:r>
        <w:rPr>
          <w:rFonts w:ascii="仿宋" w:hAnsi="Times New Roman" w:eastAsia="仿宋" w:cs="仿宋"/>
          <w:sz w:val="32"/>
          <w:szCs w:val="32"/>
          <w:lang w:val="zh-CN"/>
        </w:rPr>
        <w:t>1</w:t>
      </w:r>
      <w:r>
        <w:rPr>
          <w:rFonts w:hint="eastAsia" w:ascii="仿宋" w:hAnsi="Times New Roman" w:eastAsia="仿宋" w:cs="仿宋"/>
          <w:sz w:val="32"/>
          <w:szCs w:val="32"/>
          <w:lang w:val="zh-CN"/>
        </w:rPr>
        <w:t>．</w:t>
      </w:r>
      <w:r>
        <w:rPr>
          <w:rFonts w:hint="eastAsia" w:ascii="仿宋" w:hAnsi="Times New Roman" w:eastAsia="仿宋" w:cs="仿宋"/>
          <w:sz w:val="32"/>
          <w:szCs w:val="32"/>
          <w:lang w:val="en-US" w:eastAsia="zh-CN"/>
        </w:rPr>
        <w:t>部门</w:t>
      </w:r>
      <w:r>
        <w:rPr>
          <w:rFonts w:hint="eastAsia" w:ascii="仿宋" w:hAnsi="Times New Roman" w:eastAsia="仿宋" w:cs="仿宋"/>
          <w:sz w:val="32"/>
          <w:szCs w:val="32"/>
          <w:lang w:val="zh-CN"/>
        </w:rPr>
        <w:t>职能。</w:t>
      </w:r>
    </w:p>
    <w:p w14:paraId="04C78D25">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统筹管理全市医疗保险、生育保险、大病互助、公务员医疗补助、离休老干医疗等各项险种的工作。</w:t>
      </w:r>
    </w:p>
    <w:p w14:paraId="76DC496D">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en-US" w:eastAsia="zh-CN"/>
        </w:rPr>
        <w:t>（1）</w:t>
      </w:r>
      <w:r>
        <w:rPr>
          <w:rFonts w:hint="eastAsia" w:ascii="仿宋" w:hAnsi="Times New Roman" w:eastAsia="仿宋" w:cs="仿宋"/>
          <w:sz w:val="32"/>
          <w:szCs w:val="32"/>
          <w:lang w:val="zh-CN"/>
        </w:rPr>
        <w:t>贯彻执行国家、省基本医疗保障法律、法规规章和方针政策，拟订本市医疗保障事业发展规划、政策、标准并组织实施和监督检查。</w:t>
      </w:r>
    </w:p>
    <w:p w14:paraId="678980B6">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（2）组织制定并实施医疗保障基金管理和基金监督管理制度，建立健全医疗保障基金安全防控机制，拟订应对预案并组织实施。</w:t>
      </w:r>
    </w:p>
    <w:p w14:paraId="58D38F8E">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（3）拟订并调整医疗保障筹资和待遇政策，完善动态调整机制，统筹城乡医疗保障待遇标准，建立健全与筹资水平相适应的待遇调整机制。组织拟订并实施长期护理保险制度工作方案。</w:t>
      </w:r>
    </w:p>
    <w:p w14:paraId="61E7D368">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（4）按国家、省有关规定执行城乡统一的药品、医用耗材、医疗服务项目、医疗服务设施等医疗保障目录和支付标准。</w:t>
      </w:r>
    </w:p>
    <w:p w14:paraId="03387F97">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5）按国家、省有关规定组织制定并调整药品、医用耗材价格和医疗服务项目、医疗服务设施收费等政策，合理确定并动态调整医疗服务价格，推动建立市场主导的社会医药服务价格形成机制，建立价格信息监测和信息发布制度。</w:t>
      </w:r>
    </w:p>
    <w:p w14:paraId="18726DC5">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（6）按国家、省有关规定组织制定并实施药品、医用耗材的招标采购政策。</w:t>
      </w:r>
    </w:p>
    <w:p w14:paraId="3AE6B2A3">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7）拟订定点医药机构协议和支付管理办法并组织实施，开展医疗保障基金支付方式改革，建立健全定点医药服务评价体系和信息披露制度，监督管理纳入医疗保障范围内的医疗服务行为和医疗费用，依法查处医疗保障领域违法违规行为。</w:t>
      </w:r>
    </w:p>
    <w:p w14:paraId="096AE575">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（8）负责医疗保障经办管理、公共服务体系和信息化建设。完善医疗保障基金预决算编制工作，完善异地就医管理和费用结算。健全完善医疗保障关系转移接续制度。开展医疗保障领域合作交流。</w:t>
      </w:r>
    </w:p>
    <w:p w14:paraId="4C866498">
      <w:pPr>
        <w:keepNext w:val="0"/>
        <w:keepLines w:val="0"/>
        <w:pageBreakBefore w:val="0"/>
        <w:kinsoku/>
        <w:wordWrap/>
        <w:topLinePunct w:val="0"/>
        <w:autoSpaceDE w:val="0"/>
        <w:autoSpaceDN w:val="0"/>
        <w:bidi w:val="0"/>
        <w:adjustRightInd w:val="0"/>
        <w:snapToGrid/>
        <w:spacing w:line="560" w:lineRule="exact"/>
        <w:ind w:firstLine="640" w:firstLineChars="200"/>
        <w:rPr>
          <w:rFonts w:hint="eastAsia" w:ascii="仿宋" w:hAnsi="Times New Roman" w:eastAsia="仿宋" w:cs="仿宋"/>
          <w:sz w:val="32"/>
          <w:szCs w:val="32"/>
          <w:lang w:val="zh-CN"/>
        </w:rPr>
      </w:pPr>
      <w:r>
        <w:rPr>
          <w:rFonts w:hint="eastAsia" w:ascii="仿宋" w:hAnsi="Times New Roman" w:eastAsia="仿宋" w:cs="仿宋"/>
          <w:sz w:val="32"/>
          <w:szCs w:val="32"/>
          <w:lang w:val="zh-CN"/>
        </w:rPr>
        <w:t>（9）完成市委、市政府和省医疗保障局交办的其他任务。</w:t>
      </w:r>
    </w:p>
    <w:p w14:paraId="0E29B459">
      <w:pPr>
        <w:keepNext w:val="0"/>
        <w:keepLines w:val="0"/>
        <w:pageBreakBefore w:val="0"/>
        <w:kinsoku/>
        <w:wordWrap/>
        <w:topLinePunct w:val="0"/>
        <w:autoSpaceDE w:val="0"/>
        <w:autoSpaceDN w:val="0"/>
        <w:bidi w:val="0"/>
        <w:adjustRightInd w:val="0"/>
        <w:snapToGrid/>
        <w:spacing w:line="560" w:lineRule="exact"/>
        <w:ind w:firstLine="640" w:firstLineChars="200"/>
        <w:rPr>
          <w:rFonts w:ascii="仿宋" w:hAnsi="Times New Roman" w:eastAsia="仿宋" w:cs="仿宋"/>
          <w:sz w:val="32"/>
          <w:szCs w:val="32"/>
          <w:lang w:val="zh-CN"/>
        </w:rPr>
      </w:pPr>
      <w:r>
        <w:rPr>
          <w:rFonts w:ascii="仿宋" w:hAnsi="Times New Roman" w:eastAsia="仿宋" w:cs="仿宋"/>
          <w:sz w:val="32"/>
          <w:szCs w:val="32"/>
          <w:lang w:val="zh-CN"/>
        </w:rPr>
        <w:t>2</w:t>
      </w:r>
      <w:r>
        <w:rPr>
          <w:rFonts w:hint="eastAsia" w:ascii="仿宋" w:hAnsi="Times New Roman" w:eastAsia="仿宋" w:cs="仿宋"/>
          <w:sz w:val="32"/>
          <w:szCs w:val="32"/>
          <w:lang w:val="zh-CN"/>
        </w:rPr>
        <w:t>．机构情况。</w:t>
      </w:r>
    </w:p>
    <w:p w14:paraId="6E5674F1">
      <w:pPr>
        <w:keepNext w:val="0"/>
        <w:keepLines w:val="0"/>
        <w:pageBreakBefore w:val="0"/>
        <w:kinsoku/>
        <w:wordWrap/>
        <w:topLinePunct w:val="0"/>
        <w:autoSpaceDE w:val="0"/>
        <w:autoSpaceDN w:val="0"/>
        <w:bidi w:val="0"/>
        <w:adjustRightInd w:val="0"/>
        <w:snapToGrid/>
        <w:spacing w:line="560" w:lineRule="exact"/>
        <w:ind w:firstLine="640" w:firstLineChars="200"/>
        <w:rPr>
          <w:rFonts w:ascii="仿宋" w:hAnsi="Times New Roman" w:eastAsia="仿宋" w:cs="仿宋"/>
          <w:sz w:val="32"/>
          <w:szCs w:val="32"/>
          <w:lang w:val="zh-CN"/>
        </w:rPr>
      </w:pPr>
      <w:r>
        <w:rPr>
          <w:rFonts w:hint="eastAsia" w:ascii="仿宋" w:hAnsi="Times New Roman" w:eastAsia="仿宋" w:cs="仿宋"/>
          <w:sz w:val="32"/>
          <w:szCs w:val="32"/>
          <w:lang w:val="zh-CN"/>
        </w:rPr>
        <w:t>下设衡阳市</w:t>
      </w:r>
      <w:r>
        <w:rPr>
          <w:rFonts w:hint="eastAsia" w:ascii="仿宋" w:hAnsi="Times New Roman" w:eastAsia="仿宋" w:cs="仿宋"/>
          <w:sz w:val="32"/>
          <w:szCs w:val="32"/>
          <w:lang w:val="en-US" w:eastAsia="zh-CN"/>
        </w:rPr>
        <w:t>医疗保险事务中心和衡阳市医疗保险基金监管中心两</w:t>
      </w:r>
      <w:r>
        <w:rPr>
          <w:rFonts w:hint="eastAsia" w:ascii="仿宋" w:hAnsi="Times New Roman" w:eastAsia="仿宋" w:cs="仿宋"/>
          <w:sz w:val="32"/>
          <w:szCs w:val="32"/>
          <w:lang w:val="zh-CN"/>
        </w:rPr>
        <w:t>个二级机构。</w:t>
      </w:r>
    </w:p>
    <w:p w14:paraId="60134574">
      <w:pPr>
        <w:keepNext w:val="0"/>
        <w:keepLines w:val="0"/>
        <w:pageBreakBefore w:val="0"/>
        <w:kinsoku/>
        <w:wordWrap/>
        <w:topLinePunct w:val="0"/>
        <w:autoSpaceDE w:val="0"/>
        <w:autoSpaceDN w:val="0"/>
        <w:bidi w:val="0"/>
        <w:adjustRightInd w:val="0"/>
        <w:snapToGrid/>
        <w:spacing w:line="560" w:lineRule="exact"/>
        <w:ind w:firstLine="640" w:firstLineChars="200"/>
        <w:rPr>
          <w:rFonts w:ascii="仿宋" w:hAnsi="Times New Roman" w:eastAsia="仿宋" w:cs="仿宋"/>
          <w:sz w:val="32"/>
          <w:szCs w:val="32"/>
          <w:lang w:val="zh-CN"/>
        </w:rPr>
      </w:pPr>
      <w:r>
        <w:rPr>
          <w:rFonts w:ascii="仿宋" w:hAnsi="Times New Roman" w:eastAsia="仿宋" w:cs="仿宋"/>
          <w:sz w:val="32"/>
          <w:szCs w:val="32"/>
          <w:lang w:val="zh-CN"/>
        </w:rPr>
        <w:t>3</w:t>
      </w:r>
      <w:r>
        <w:rPr>
          <w:rFonts w:hint="eastAsia" w:ascii="仿宋" w:hAnsi="Times New Roman" w:eastAsia="仿宋" w:cs="仿宋"/>
          <w:sz w:val="32"/>
          <w:szCs w:val="32"/>
          <w:lang w:val="zh-CN"/>
        </w:rPr>
        <w:t>．人员情况。</w:t>
      </w:r>
    </w:p>
    <w:p w14:paraId="256762CA">
      <w:pPr>
        <w:pStyle w:val="8"/>
        <w:keepNext w:val="0"/>
        <w:keepLines w:val="0"/>
        <w:pageBreakBefore w:val="0"/>
        <w:widowControl/>
        <w:numPr>
          <w:ilvl w:val="0"/>
          <w:numId w:val="0"/>
        </w:numPr>
        <w:kinsoku/>
        <w:wordWrap/>
        <w:topLinePunct w:val="0"/>
        <w:bidi w:val="0"/>
        <w:snapToGrid/>
        <w:spacing w:line="560" w:lineRule="exact"/>
        <w:ind w:firstLine="640" w:firstLineChars="200"/>
        <w:rPr>
          <w:rFonts w:hint="eastAsia" w:eastAsia="黑体"/>
          <w:sz w:val="32"/>
          <w:szCs w:val="32"/>
          <w:lang w:eastAsia="zh-CN"/>
        </w:rPr>
      </w:pPr>
      <w:r>
        <w:rPr>
          <w:rFonts w:ascii="仿宋" w:hAnsi="Times New Roman" w:eastAsia="仿宋" w:cs="仿宋"/>
          <w:sz w:val="32"/>
          <w:szCs w:val="32"/>
          <w:lang w:val="zh-CN"/>
        </w:rPr>
        <w:t>202</w:t>
      </w:r>
      <w:r>
        <w:rPr>
          <w:rFonts w:hint="eastAsia" w:ascii="仿宋" w:eastAsia="仿宋" w:cs="仿宋"/>
          <w:sz w:val="32"/>
          <w:szCs w:val="32"/>
          <w:lang w:val="en-US" w:eastAsia="zh-CN"/>
        </w:rPr>
        <w:t>4</w:t>
      </w:r>
      <w:r>
        <w:rPr>
          <w:rFonts w:hint="eastAsia" w:ascii="仿宋" w:hAnsi="Times New Roman" w:eastAsia="仿宋" w:cs="仿宋"/>
          <w:sz w:val="32"/>
          <w:szCs w:val="32"/>
          <w:lang w:val="zh-CN"/>
        </w:rPr>
        <w:t>年本单位年</w:t>
      </w:r>
      <w:r>
        <w:rPr>
          <w:rFonts w:hint="eastAsia" w:ascii="仿宋" w:eastAsia="仿宋" w:cs="仿宋"/>
          <w:sz w:val="32"/>
          <w:szCs w:val="32"/>
          <w:lang w:val="en-US" w:eastAsia="zh-CN"/>
        </w:rPr>
        <w:t>末</w:t>
      </w:r>
      <w:r>
        <w:rPr>
          <w:rFonts w:hint="eastAsia" w:ascii="仿宋" w:hAnsi="Times New Roman" w:eastAsia="仿宋" w:cs="仿宋"/>
          <w:sz w:val="32"/>
          <w:szCs w:val="32"/>
          <w:lang w:val="zh-CN"/>
        </w:rPr>
        <w:t>实有人数</w:t>
      </w:r>
      <w:r>
        <w:rPr>
          <w:rFonts w:hint="eastAsia" w:ascii="仿宋" w:eastAsia="仿宋" w:cs="仿宋"/>
          <w:sz w:val="32"/>
          <w:szCs w:val="32"/>
          <w:lang w:val="en-US" w:eastAsia="zh-CN"/>
        </w:rPr>
        <w:t>76</w:t>
      </w:r>
      <w:r>
        <w:rPr>
          <w:rFonts w:hint="eastAsia" w:ascii="仿宋" w:hAnsi="Times New Roman" w:eastAsia="仿宋" w:cs="仿宋"/>
          <w:sz w:val="32"/>
          <w:szCs w:val="32"/>
          <w:lang w:val="zh-CN"/>
        </w:rPr>
        <w:t>人。</w:t>
      </w:r>
    </w:p>
    <w:p w14:paraId="3071D4AC">
      <w:pPr>
        <w:pStyle w:val="8"/>
        <w:keepNext w:val="0"/>
        <w:keepLines w:val="0"/>
        <w:pageBreakBefore w:val="0"/>
        <w:widowControl/>
        <w:kinsoku/>
        <w:wordWrap/>
        <w:topLinePunct w:val="0"/>
        <w:bidi w:val="0"/>
        <w:snapToGrid/>
        <w:spacing w:line="560" w:lineRule="exact"/>
        <w:ind w:firstLine="640"/>
        <w:rPr>
          <w:rFonts w:eastAsia="黑体"/>
          <w:sz w:val="32"/>
          <w:szCs w:val="32"/>
        </w:rPr>
      </w:pPr>
      <w:r>
        <w:rPr>
          <w:rFonts w:eastAsia="黑体"/>
          <w:sz w:val="32"/>
          <w:szCs w:val="32"/>
        </w:rPr>
        <w:t>二、一般公共预算支出情况</w:t>
      </w:r>
    </w:p>
    <w:p w14:paraId="0E0E7ACE">
      <w:pPr>
        <w:pStyle w:val="8"/>
        <w:keepNext w:val="0"/>
        <w:keepLines w:val="0"/>
        <w:pageBreakBefore w:val="0"/>
        <w:widowControl/>
        <w:kinsoku/>
        <w:wordWrap/>
        <w:topLinePunct w:val="0"/>
        <w:bidi w:val="0"/>
        <w:snapToGrid/>
        <w:spacing w:line="560" w:lineRule="exact"/>
        <w:ind w:firstLine="643"/>
        <w:rPr>
          <w:rFonts w:eastAsia="楷体"/>
          <w:b/>
          <w:sz w:val="32"/>
          <w:szCs w:val="32"/>
        </w:rPr>
      </w:pPr>
      <w:r>
        <w:rPr>
          <w:rFonts w:eastAsia="楷体"/>
          <w:b/>
          <w:sz w:val="32"/>
          <w:szCs w:val="32"/>
        </w:rPr>
        <w:t>（一）基本支出情况</w:t>
      </w:r>
    </w:p>
    <w:p w14:paraId="20BE1AE6">
      <w:pPr>
        <w:pStyle w:val="8"/>
        <w:keepNext w:val="0"/>
        <w:keepLines w:val="0"/>
        <w:pageBreakBefore w:val="0"/>
        <w:widowControl/>
        <w:kinsoku/>
        <w:wordWrap/>
        <w:topLinePunct w:val="0"/>
        <w:bidi w:val="0"/>
        <w:snapToGrid/>
        <w:spacing w:line="560" w:lineRule="exact"/>
        <w:ind w:firstLine="643"/>
        <w:rPr>
          <w:rFonts w:hint="default" w:eastAsia="仿宋"/>
          <w:b/>
          <w:sz w:val="32"/>
          <w:szCs w:val="32"/>
          <w:lang w:val="en-US" w:eastAsia="zh-CN"/>
        </w:rPr>
      </w:pPr>
      <w:r>
        <w:rPr>
          <w:rFonts w:hint="eastAsia" w:ascii="仿宋" w:eastAsia="仿宋" w:cs="仿宋"/>
          <w:sz w:val="32"/>
          <w:szCs w:val="32"/>
          <w:lang w:eastAsia="zh-CN"/>
        </w:rPr>
        <w:t>2024年</w:t>
      </w:r>
      <w:r>
        <w:rPr>
          <w:rFonts w:hint="eastAsia" w:ascii="仿宋" w:hAnsi="Times New Roman" w:eastAsia="仿宋" w:cs="仿宋"/>
          <w:sz w:val="32"/>
          <w:szCs w:val="32"/>
        </w:rPr>
        <w:t>，</w:t>
      </w:r>
      <w:r>
        <w:rPr>
          <w:rFonts w:hint="eastAsia" w:ascii="仿宋" w:hAnsi="Times New Roman" w:eastAsia="仿宋" w:cs="仿宋"/>
          <w:sz w:val="32"/>
          <w:szCs w:val="32"/>
          <w:lang w:val="zh-CN"/>
        </w:rPr>
        <w:t>基本支出完成1,526.71万元</w:t>
      </w:r>
      <w:r>
        <w:rPr>
          <w:rFonts w:hint="eastAsia" w:ascii="仿宋" w:hAnsi="Times New Roman" w:eastAsia="仿宋" w:cs="仿宋"/>
          <w:sz w:val="32"/>
          <w:szCs w:val="32"/>
        </w:rPr>
        <w:t>。其中，按支出性质分类，</w:t>
      </w:r>
      <w:r>
        <w:rPr>
          <w:rFonts w:hint="eastAsia" w:ascii="仿宋" w:hAnsi="Times New Roman" w:eastAsia="仿宋" w:cs="仿宋"/>
          <w:sz w:val="32"/>
          <w:szCs w:val="32"/>
          <w:lang w:val="zh-CN"/>
        </w:rPr>
        <w:t>人员经费完成1,270.47万元；公用经费完成256.25万</w:t>
      </w:r>
      <w:r>
        <w:rPr>
          <w:rFonts w:hint="eastAsia" w:ascii="仿宋" w:hAnsi="Times New Roman" w:eastAsia="仿宋" w:cs="仿宋"/>
          <w:sz w:val="32"/>
          <w:szCs w:val="32"/>
        </w:rPr>
        <w:t>元</w:t>
      </w:r>
      <w:r>
        <w:rPr>
          <w:rFonts w:hint="eastAsia" w:ascii="仿宋" w:eastAsia="仿宋" w:cs="仿宋"/>
          <w:sz w:val="32"/>
          <w:szCs w:val="32"/>
          <w:lang w:val="en-US" w:eastAsia="zh-CN"/>
        </w:rPr>
        <w:t>。</w:t>
      </w:r>
    </w:p>
    <w:p w14:paraId="728FAB38">
      <w:pPr>
        <w:pStyle w:val="8"/>
        <w:keepNext w:val="0"/>
        <w:keepLines w:val="0"/>
        <w:pageBreakBefore w:val="0"/>
        <w:widowControl/>
        <w:numPr>
          <w:ilvl w:val="0"/>
          <w:numId w:val="2"/>
        </w:numPr>
        <w:kinsoku/>
        <w:wordWrap/>
        <w:topLinePunct w:val="0"/>
        <w:bidi w:val="0"/>
        <w:snapToGrid/>
        <w:spacing w:line="560" w:lineRule="exact"/>
        <w:ind w:firstLine="643"/>
        <w:rPr>
          <w:rFonts w:eastAsia="楷体"/>
          <w:b/>
          <w:sz w:val="32"/>
          <w:szCs w:val="32"/>
        </w:rPr>
      </w:pPr>
      <w:r>
        <w:rPr>
          <w:rFonts w:eastAsia="楷体"/>
          <w:b/>
          <w:sz w:val="32"/>
          <w:szCs w:val="32"/>
        </w:rPr>
        <w:t>项目支出情况</w:t>
      </w:r>
    </w:p>
    <w:p w14:paraId="0D415CAD">
      <w:pPr>
        <w:pStyle w:val="8"/>
        <w:keepNext w:val="0"/>
        <w:keepLines w:val="0"/>
        <w:pageBreakBefore w:val="0"/>
        <w:widowControl/>
        <w:kinsoku/>
        <w:wordWrap/>
        <w:topLinePunct w:val="0"/>
        <w:bidi w:val="0"/>
        <w:snapToGrid/>
        <w:spacing w:line="560" w:lineRule="exact"/>
        <w:ind w:firstLine="643"/>
        <w:rPr>
          <w:rFonts w:hint="eastAsia" w:ascii="仿宋" w:eastAsia="仿宋" w:cs="仿宋"/>
          <w:sz w:val="32"/>
          <w:szCs w:val="32"/>
          <w:lang w:val="en-US" w:eastAsia="zh-CN"/>
        </w:rPr>
      </w:pPr>
      <w:r>
        <w:rPr>
          <w:rFonts w:hint="eastAsia" w:ascii="仿宋" w:eastAsia="仿宋" w:cs="仿宋"/>
          <w:sz w:val="32"/>
          <w:szCs w:val="32"/>
          <w:lang w:val="en-US" w:eastAsia="zh-CN"/>
        </w:rPr>
        <w:t>2024年我单位项目支出总金额为437.20万元。从预算项目来看，具体支出方向和使用范围如下：</w:t>
      </w:r>
    </w:p>
    <w:p w14:paraId="128B3319">
      <w:pPr>
        <w:pStyle w:val="8"/>
        <w:keepNext w:val="0"/>
        <w:keepLines w:val="0"/>
        <w:pageBreakBefore w:val="0"/>
        <w:widowControl/>
        <w:kinsoku/>
        <w:wordWrap/>
        <w:topLinePunct w:val="0"/>
        <w:bidi w:val="0"/>
        <w:snapToGrid/>
        <w:spacing w:line="560" w:lineRule="exact"/>
        <w:ind w:firstLine="643"/>
        <w:rPr>
          <w:rFonts w:hint="eastAsia" w:ascii="仿宋" w:eastAsia="仿宋" w:cs="仿宋"/>
          <w:sz w:val="32"/>
          <w:szCs w:val="32"/>
          <w:lang w:val="en-US" w:eastAsia="zh-CN"/>
        </w:rPr>
      </w:pPr>
      <w:r>
        <w:rPr>
          <w:rFonts w:hint="eastAsia" w:ascii="仿宋" w:eastAsia="仿宋" w:cs="仿宋"/>
          <w:sz w:val="32"/>
          <w:szCs w:val="32"/>
          <w:lang w:val="en-US" w:eastAsia="zh-CN"/>
        </w:rPr>
        <w:t>1.医疗保障能力建设经费支出9.37万元，执行率52%。主要用于提升医保信息化标准化、基金监管、经办管理、目录监管水平，推进医保支付方式、药品和医用耗材集中带量采购、医疗服务价格等改革任务。</w:t>
      </w:r>
    </w:p>
    <w:p w14:paraId="5CF56DCC">
      <w:pPr>
        <w:pStyle w:val="8"/>
        <w:keepNext w:val="0"/>
        <w:keepLines w:val="0"/>
        <w:pageBreakBefore w:val="0"/>
        <w:widowControl/>
        <w:kinsoku/>
        <w:wordWrap/>
        <w:topLinePunct w:val="0"/>
        <w:bidi w:val="0"/>
        <w:snapToGrid/>
        <w:spacing w:line="560" w:lineRule="exact"/>
        <w:ind w:firstLine="643"/>
        <w:rPr>
          <w:rFonts w:hint="default" w:ascii="仿宋" w:eastAsia="仿宋" w:cs="仿宋"/>
          <w:sz w:val="32"/>
          <w:szCs w:val="32"/>
          <w:lang w:val="en-US" w:eastAsia="zh-CN"/>
        </w:rPr>
      </w:pPr>
      <w:r>
        <w:rPr>
          <w:rFonts w:hint="eastAsia" w:ascii="仿宋" w:eastAsia="仿宋" w:cs="仿宋"/>
          <w:sz w:val="32"/>
          <w:szCs w:val="32"/>
          <w:lang w:val="en-US" w:eastAsia="zh-CN"/>
        </w:rPr>
        <w:t>2.城乡居民基本医疗工作经费支出26.23万元，执行率93%。主要用于城乡居民参保征缴任务，组织召开全市参保征缴动员会等围绕城乡居民相关的日常工作支出。</w:t>
      </w:r>
    </w:p>
    <w:p w14:paraId="260FAD34">
      <w:pPr>
        <w:pStyle w:val="8"/>
        <w:keepNext w:val="0"/>
        <w:keepLines w:val="0"/>
        <w:pageBreakBefore w:val="0"/>
        <w:widowControl/>
        <w:kinsoku/>
        <w:wordWrap/>
        <w:topLinePunct w:val="0"/>
        <w:bidi w:val="0"/>
        <w:snapToGrid/>
        <w:spacing w:line="560" w:lineRule="exact"/>
        <w:ind w:firstLine="643"/>
        <w:rPr>
          <w:rFonts w:hint="default" w:ascii="仿宋" w:eastAsia="仿宋" w:cs="仿宋"/>
          <w:sz w:val="32"/>
          <w:szCs w:val="32"/>
          <w:lang w:val="en-US" w:eastAsia="zh-CN"/>
        </w:rPr>
      </w:pPr>
      <w:r>
        <w:rPr>
          <w:rFonts w:hint="eastAsia" w:ascii="仿宋" w:eastAsia="仿宋" w:cs="仿宋"/>
          <w:sz w:val="32"/>
          <w:szCs w:val="32"/>
          <w:lang w:val="en-US" w:eastAsia="zh-CN"/>
        </w:rPr>
        <w:t>3.办公场地租赁费支出50万元，执行率100%。主要用于我单位办公场地的全年租赁等相关支出。</w:t>
      </w:r>
    </w:p>
    <w:p w14:paraId="409DD863">
      <w:pPr>
        <w:pStyle w:val="8"/>
        <w:keepNext w:val="0"/>
        <w:keepLines w:val="0"/>
        <w:pageBreakBefore w:val="0"/>
        <w:widowControl/>
        <w:kinsoku/>
        <w:wordWrap/>
        <w:topLinePunct w:val="0"/>
        <w:bidi w:val="0"/>
        <w:snapToGrid/>
        <w:spacing w:line="560" w:lineRule="exact"/>
        <w:ind w:firstLine="643"/>
        <w:rPr>
          <w:rFonts w:hint="default" w:ascii="仿宋" w:eastAsia="仿宋" w:cs="仿宋"/>
          <w:sz w:val="32"/>
          <w:szCs w:val="32"/>
          <w:lang w:val="en-US" w:eastAsia="zh-CN"/>
        </w:rPr>
      </w:pPr>
      <w:r>
        <w:rPr>
          <w:rFonts w:hint="eastAsia" w:ascii="仿宋" w:eastAsia="仿宋" w:cs="仿宋"/>
          <w:sz w:val="32"/>
          <w:szCs w:val="32"/>
          <w:lang w:val="en-US" w:eastAsia="zh-CN"/>
        </w:rPr>
        <w:t>4.特殊门诊专家评审费用支出2万元，执行率100%。主要用于</w:t>
      </w:r>
      <w:r>
        <w:rPr>
          <w:rFonts w:hint="eastAsia" w:ascii="仿宋" w:hAnsi="仿宋" w:eastAsia="仿宋" w:cs="仿宋"/>
          <w:b w:val="0"/>
          <w:bCs w:val="0"/>
          <w:sz w:val="32"/>
          <w:szCs w:val="32"/>
          <w:lang w:val="en-US" w:eastAsia="zh-CN"/>
        </w:rPr>
        <w:t>衡阳市本级职工特殊门诊和双通道药品的评审相关工作支出。</w:t>
      </w:r>
    </w:p>
    <w:p w14:paraId="0A3CECF2">
      <w:pPr>
        <w:pStyle w:val="8"/>
        <w:keepNext w:val="0"/>
        <w:keepLines w:val="0"/>
        <w:pageBreakBefore w:val="0"/>
        <w:widowControl/>
        <w:kinsoku/>
        <w:wordWrap/>
        <w:topLinePunct w:val="0"/>
        <w:bidi w:val="0"/>
        <w:snapToGrid/>
        <w:spacing w:line="560" w:lineRule="exact"/>
        <w:ind w:firstLine="643"/>
        <w:rPr>
          <w:rFonts w:hint="eastAsia" w:ascii="仿宋" w:eastAsia="仿宋" w:cs="仿宋"/>
          <w:sz w:val="32"/>
          <w:szCs w:val="32"/>
          <w:lang w:val="en-US" w:eastAsia="zh-CN"/>
        </w:rPr>
      </w:pPr>
      <w:r>
        <w:rPr>
          <w:rFonts w:hint="eastAsia" w:ascii="仿宋" w:eastAsia="仿宋" w:cs="仿宋"/>
          <w:sz w:val="32"/>
          <w:szCs w:val="32"/>
          <w:lang w:val="en-US" w:eastAsia="zh-CN"/>
        </w:rPr>
        <w:t>5.欺诈骗保行为举报奖励专项资金支出0万元，执行率0%。主要用于打击欺诈骗保日常工作经费支出。</w:t>
      </w:r>
    </w:p>
    <w:p w14:paraId="0D8F1009">
      <w:pPr>
        <w:pStyle w:val="8"/>
        <w:keepNext w:val="0"/>
        <w:keepLines w:val="0"/>
        <w:pageBreakBefore w:val="0"/>
        <w:widowControl/>
        <w:kinsoku/>
        <w:wordWrap/>
        <w:topLinePunct w:val="0"/>
        <w:bidi w:val="0"/>
        <w:snapToGrid/>
        <w:spacing w:line="560" w:lineRule="exact"/>
        <w:ind w:firstLine="643"/>
        <w:rPr>
          <w:rFonts w:hint="eastAsia" w:ascii="仿宋" w:eastAsia="仿宋" w:cs="仿宋"/>
          <w:sz w:val="32"/>
          <w:szCs w:val="32"/>
          <w:lang w:val="en-US" w:eastAsia="zh-CN"/>
        </w:rPr>
      </w:pPr>
      <w:r>
        <w:rPr>
          <w:rFonts w:hint="eastAsia" w:ascii="仿宋" w:eastAsia="仿宋" w:cs="仿宋"/>
          <w:sz w:val="32"/>
          <w:szCs w:val="32"/>
          <w:lang w:val="en-US" w:eastAsia="zh-CN"/>
        </w:rPr>
        <w:t>6.2024年度增人增资经费支出26.49万元，执行率100%。主要用于2024年我单位的增人增资工资性支出。</w:t>
      </w:r>
    </w:p>
    <w:p w14:paraId="0EF60638">
      <w:pPr>
        <w:pStyle w:val="8"/>
        <w:keepNext w:val="0"/>
        <w:keepLines w:val="0"/>
        <w:pageBreakBefore w:val="0"/>
        <w:widowControl/>
        <w:numPr>
          <w:ilvl w:val="0"/>
          <w:numId w:val="0"/>
        </w:numPr>
        <w:kinsoku/>
        <w:wordWrap/>
        <w:topLinePunct w:val="0"/>
        <w:bidi w:val="0"/>
        <w:snapToGrid/>
        <w:spacing w:line="240" w:lineRule="auto"/>
        <w:ind w:firstLine="640" w:firstLineChars="200"/>
        <w:rPr>
          <w:rFonts w:hint="eastAsia" w:ascii="仿宋" w:eastAsia="仿宋" w:cs="仿宋"/>
          <w:sz w:val="32"/>
          <w:szCs w:val="32"/>
          <w:lang w:val="en-US" w:eastAsia="zh-CN"/>
        </w:rPr>
      </w:pPr>
      <w:r>
        <w:rPr>
          <w:rFonts w:hint="eastAsia" w:ascii="仿宋" w:hAnsi="Times New Roman" w:eastAsia="仿宋" w:cs="仿宋"/>
          <w:kern w:val="2"/>
          <w:sz w:val="32"/>
          <w:szCs w:val="32"/>
          <w:lang w:val="en-US" w:eastAsia="zh-CN" w:bidi="ar-SA"/>
        </w:rPr>
        <w:t>7.</w:t>
      </w:r>
      <w:r>
        <w:rPr>
          <w:rFonts w:hint="eastAsia" w:ascii="仿宋" w:eastAsia="仿宋" w:cs="仿宋"/>
          <w:sz w:val="32"/>
          <w:szCs w:val="32"/>
          <w:lang w:val="en-US" w:eastAsia="zh-CN"/>
        </w:rPr>
        <w:t>驻村帮扶资金支出5.32万元，执行率96%。主要用于市直单位驻村帮扶资金（用于驻村工作队补贴等）。</w:t>
      </w:r>
    </w:p>
    <w:p w14:paraId="02B195DD">
      <w:pPr>
        <w:pStyle w:val="8"/>
        <w:keepNext w:val="0"/>
        <w:keepLines w:val="0"/>
        <w:pageBreakBefore w:val="0"/>
        <w:widowControl/>
        <w:numPr>
          <w:ilvl w:val="0"/>
          <w:numId w:val="0"/>
        </w:numPr>
        <w:kinsoku/>
        <w:wordWrap/>
        <w:topLinePunct w:val="0"/>
        <w:bidi w:val="0"/>
        <w:snapToGrid/>
        <w:spacing w:line="240" w:lineRule="auto"/>
        <w:ind w:firstLine="640" w:firstLineChars="200"/>
        <w:rPr>
          <w:rFonts w:hint="eastAsia" w:ascii="仿宋" w:eastAsia="仿宋" w:cs="仿宋"/>
          <w:sz w:val="32"/>
          <w:szCs w:val="32"/>
          <w:lang w:val="en-US" w:eastAsia="zh-CN"/>
        </w:rPr>
      </w:pPr>
      <w:r>
        <w:rPr>
          <w:rFonts w:hint="eastAsia" w:ascii="仿宋" w:eastAsia="仿宋" w:cs="仿宋"/>
          <w:sz w:val="32"/>
          <w:szCs w:val="32"/>
          <w:lang w:val="en-US" w:eastAsia="zh-CN"/>
        </w:rPr>
        <w:t>8.医疗费补助支出1万元，执行率100%。主要用于湖南省财政厅关于下达2023年度真抓实干成效明细地区奖励资金。</w:t>
      </w:r>
    </w:p>
    <w:p w14:paraId="40043295">
      <w:pPr>
        <w:pStyle w:val="8"/>
        <w:keepNext w:val="0"/>
        <w:keepLines w:val="0"/>
        <w:pageBreakBefore w:val="0"/>
        <w:widowControl/>
        <w:numPr>
          <w:ilvl w:val="0"/>
          <w:numId w:val="0"/>
        </w:numPr>
        <w:kinsoku/>
        <w:wordWrap/>
        <w:topLinePunct w:val="0"/>
        <w:bidi w:val="0"/>
        <w:snapToGrid/>
        <w:spacing w:line="240" w:lineRule="auto"/>
        <w:ind w:firstLine="640" w:firstLineChars="200"/>
        <w:rPr>
          <w:rFonts w:hint="default" w:ascii="仿宋" w:eastAsia="仿宋" w:cs="仿宋"/>
          <w:sz w:val="32"/>
          <w:szCs w:val="32"/>
          <w:lang w:val="en-US" w:eastAsia="zh-CN"/>
        </w:rPr>
      </w:pPr>
      <w:r>
        <w:rPr>
          <w:rFonts w:hint="eastAsia" w:ascii="仿宋" w:eastAsia="仿宋" w:cs="仿宋"/>
          <w:sz w:val="32"/>
          <w:szCs w:val="32"/>
          <w:lang w:val="en-US" w:eastAsia="zh-CN"/>
        </w:rPr>
        <w:t>9.其他资金支出4.1万元，执行率100%，主要用于其他资金的支出。</w:t>
      </w:r>
    </w:p>
    <w:p w14:paraId="0DE8832D">
      <w:pPr>
        <w:pStyle w:val="8"/>
        <w:keepNext w:val="0"/>
        <w:keepLines w:val="0"/>
        <w:pageBreakBefore w:val="0"/>
        <w:widowControl/>
        <w:kinsoku/>
        <w:wordWrap/>
        <w:topLinePunct w:val="0"/>
        <w:bidi w:val="0"/>
        <w:snapToGrid/>
        <w:spacing w:line="560" w:lineRule="exact"/>
        <w:ind w:firstLine="640"/>
        <w:rPr>
          <w:rFonts w:hint="eastAsia" w:eastAsia="黑体"/>
          <w:sz w:val="32"/>
          <w:szCs w:val="32"/>
          <w:lang w:val="en-US" w:eastAsia="zh-CN"/>
        </w:rPr>
      </w:pPr>
      <w:r>
        <w:rPr>
          <w:rFonts w:hint="eastAsia" w:eastAsia="黑体"/>
          <w:sz w:val="32"/>
          <w:szCs w:val="32"/>
          <w:lang w:val="en-US" w:eastAsia="zh-CN"/>
        </w:rPr>
        <w:t>三、政府性基金预算支出情况</w:t>
      </w:r>
    </w:p>
    <w:p w14:paraId="2ED2C7EE">
      <w:pPr>
        <w:pStyle w:val="8"/>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eastAsia="黑体"/>
          <w:sz w:val="32"/>
          <w:szCs w:val="32"/>
        </w:rPr>
      </w:pPr>
      <w:r>
        <w:rPr>
          <w:rFonts w:hint="eastAsia" w:eastAsia="仿宋"/>
          <w:sz w:val="32"/>
          <w:szCs w:val="32"/>
          <w:lang w:val="en-US" w:eastAsia="zh-CN"/>
        </w:rPr>
        <w:t>2024年本单位无政府性基金预算支出。</w:t>
      </w:r>
    </w:p>
    <w:p w14:paraId="0327C775">
      <w:pPr>
        <w:pStyle w:val="8"/>
        <w:keepNext w:val="0"/>
        <w:keepLines w:val="0"/>
        <w:pageBreakBefore w:val="0"/>
        <w:widowControl/>
        <w:numPr>
          <w:ilvl w:val="0"/>
          <w:numId w:val="3"/>
        </w:numPr>
        <w:kinsoku/>
        <w:wordWrap/>
        <w:topLinePunct w:val="0"/>
        <w:bidi w:val="0"/>
        <w:snapToGrid/>
        <w:spacing w:line="560" w:lineRule="exact"/>
        <w:ind w:firstLine="640"/>
        <w:rPr>
          <w:rFonts w:eastAsia="黑体"/>
          <w:sz w:val="32"/>
          <w:szCs w:val="32"/>
        </w:rPr>
      </w:pPr>
      <w:r>
        <w:rPr>
          <w:rFonts w:eastAsia="黑体"/>
          <w:sz w:val="32"/>
          <w:szCs w:val="32"/>
        </w:rPr>
        <w:t>国有资本经营预算支出情况</w:t>
      </w:r>
    </w:p>
    <w:p w14:paraId="4438886A">
      <w:pPr>
        <w:pStyle w:val="8"/>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eastAsia="黑体"/>
          <w:sz w:val="32"/>
          <w:szCs w:val="32"/>
          <w:lang w:val="en-US"/>
        </w:rPr>
      </w:pPr>
      <w:r>
        <w:rPr>
          <w:rFonts w:hint="eastAsia" w:eastAsia="仿宋"/>
          <w:sz w:val="32"/>
          <w:szCs w:val="32"/>
          <w:lang w:val="en-US" w:eastAsia="zh-CN"/>
        </w:rPr>
        <w:t>2024年本单位无国有资本经营预算支出。</w:t>
      </w:r>
    </w:p>
    <w:p w14:paraId="1B75CDBC">
      <w:pPr>
        <w:keepNext w:val="0"/>
        <w:keepLines w:val="0"/>
        <w:pageBreakBefore w:val="0"/>
        <w:widowControl/>
        <w:numPr>
          <w:ilvl w:val="0"/>
          <w:numId w:val="3"/>
        </w:numPr>
        <w:kinsoku/>
        <w:wordWrap/>
        <w:topLinePunct w:val="0"/>
        <w:bidi w:val="0"/>
        <w:snapToGrid/>
        <w:spacing w:line="560" w:lineRule="exact"/>
        <w:ind w:left="0" w:leftChars="0" w:firstLine="640" w:firstLineChars="200"/>
        <w:rPr>
          <w:rFonts w:eastAsia="黑体"/>
          <w:sz w:val="32"/>
          <w:szCs w:val="32"/>
        </w:rPr>
      </w:pPr>
      <w:r>
        <w:rPr>
          <w:rFonts w:eastAsia="黑体"/>
          <w:sz w:val="32"/>
          <w:szCs w:val="32"/>
        </w:rPr>
        <w:t>社会保险基金预算支出情况</w:t>
      </w:r>
    </w:p>
    <w:p w14:paraId="4CA4765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64" w:firstLineChars="200"/>
        <w:textAlignment w:val="auto"/>
        <w:rPr>
          <w:rFonts w:eastAsia="黑体"/>
          <w:sz w:val="32"/>
          <w:szCs w:val="32"/>
        </w:rPr>
      </w:pPr>
      <w:r>
        <w:rPr>
          <w:rFonts w:hint="eastAsia" w:ascii="仿宋_GB2312" w:hAnsi="宋体" w:eastAsia="仿宋_GB2312"/>
          <w:color w:val="000000"/>
          <w:spacing w:val="6"/>
          <w:kern w:val="0"/>
          <w:sz w:val="32"/>
          <w:szCs w:val="32"/>
          <w:lang w:val="en-US" w:eastAsia="zh-CN"/>
        </w:rPr>
        <w:t>市本级</w:t>
      </w:r>
      <w:r>
        <w:rPr>
          <w:rFonts w:hint="eastAsia" w:ascii="仿宋_GB2312" w:hAnsi="宋体" w:eastAsia="仿宋_GB2312"/>
          <w:color w:val="000000"/>
          <w:spacing w:val="6"/>
          <w:kern w:val="0"/>
          <w:sz w:val="32"/>
          <w:szCs w:val="32"/>
        </w:rPr>
        <w:t>全年支付职工医保基金</w:t>
      </w:r>
      <w:r>
        <w:rPr>
          <w:rFonts w:hint="eastAsia" w:ascii="仿宋_GB2312" w:hAnsi="宋体" w:eastAsia="仿宋_GB2312"/>
          <w:color w:val="000000"/>
          <w:spacing w:val="6"/>
          <w:kern w:val="0"/>
          <w:sz w:val="32"/>
          <w:szCs w:val="32"/>
          <w:lang w:val="en-US" w:eastAsia="zh-CN"/>
        </w:rPr>
        <w:t>160727</w:t>
      </w:r>
      <w:r>
        <w:rPr>
          <w:rFonts w:hint="eastAsia" w:ascii="仿宋_GB2312" w:hAnsi="宋体" w:eastAsia="仿宋_GB2312"/>
          <w:color w:val="000000"/>
          <w:spacing w:val="6"/>
          <w:kern w:val="0"/>
          <w:sz w:val="32"/>
          <w:szCs w:val="32"/>
        </w:rPr>
        <w:t>万元，其中</w:t>
      </w:r>
      <w:r>
        <w:rPr>
          <w:rFonts w:hint="eastAsia" w:ascii="仿宋_GB2312" w:hAnsi="宋体" w:eastAsia="仿宋_GB2312"/>
          <w:color w:val="000000"/>
          <w:spacing w:val="6"/>
          <w:kern w:val="0"/>
          <w:sz w:val="32"/>
          <w:szCs w:val="32"/>
          <w:lang w:val="en-US" w:eastAsia="zh-CN"/>
        </w:rPr>
        <w:t>统筹</w:t>
      </w:r>
      <w:r>
        <w:rPr>
          <w:rFonts w:hint="eastAsia" w:ascii="仿宋_GB2312" w:hAnsi="宋体" w:eastAsia="仿宋_GB2312"/>
          <w:color w:val="000000"/>
          <w:spacing w:val="6"/>
          <w:kern w:val="0"/>
          <w:sz w:val="32"/>
          <w:szCs w:val="32"/>
        </w:rPr>
        <w:t>基金支出</w:t>
      </w:r>
      <w:r>
        <w:rPr>
          <w:rFonts w:hint="eastAsia" w:ascii="仿宋_GB2312" w:hAnsi="宋体" w:eastAsia="仿宋_GB2312"/>
          <w:color w:val="000000"/>
          <w:spacing w:val="6"/>
          <w:kern w:val="0"/>
          <w:sz w:val="32"/>
          <w:szCs w:val="32"/>
          <w:lang w:val="en-US" w:eastAsia="zh-CN"/>
        </w:rPr>
        <w:t>95123</w:t>
      </w:r>
      <w:r>
        <w:rPr>
          <w:rFonts w:hint="eastAsia" w:ascii="仿宋_GB2312" w:hAnsi="宋体" w:eastAsia="仿宋_GB2312"/>
          <w:color w:val="000000"/>
          <w:spacing w:val="6"/>
          <w:kern w:val="0"/>
          <w:sz w:val="32"/>
          <w:szCs w:val="32"/>
        </w:rPr>
        <w:t>万元，个人帐户基金支出</w:t>
      </w:r>
      <w:r>
        <w:rPr>
          <w:rFonts w:hint="eastAsia" w:ascii="仿宋_GB2312" w:hAnsi="宋体" w:eastAsia="仿宋_GB2312"/>
          <w:color w:val="000000"/>
          <w:spacing w:val="6"/>
          <w:kern w:val="0"/>
          <w:sz w:val="32"/>
          <w:szCs w:val="32"/>
          <w:lang w:val="en-US" w:eastAsia="zh-CN"/>
        </w:rPr>
        <w:t>65604</w:t>
      </w:r>
      <w:r>
        <w:rPr>
          <w:rFonts w:hint="eastAsia" w:ascii="仿宋_GB2312" w:hAnsi="宋体" w:eastAsia="仿宋_GB2312"/>
          <w:color w:val="000000"/>
          <w:spacing w:val="6"/>
          <w:kern w:val="0"/>
          <w:sz w:val="32"/>
          <w:szCs w:val="32"/>
        </w:rPr>
        <w:t>万元。</w:t>
      </w:r>
    </w:p>
    <w:p w14:paraId="098DC21E">
      <w:pPr>
        <w:keepNext w:val="0"/>
        <w:keepLines w:val="0"/>
        <w:pageBreakBefore w:val="0"/>
        <w:widowControl/>
        <w:numPr>
          <w:ilvl w:val="0"/>
          <w:numId w:val="3"/>
        </w:numPr>
        <w:kinsoku/>
        <w:wordWrap/>
        <w:topLinePunct w:val="0"/>
        <w:bidi w:val="0"/>
        <w:snapToGrid/>
        <w:spacing w:line="56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部门整体支出绩效情况</w:t>
      </w:r>
    </w:p>
    <w:p w14:paraId="7D945669">
      <w:pPr>
        <w:pStyle w:val="8"/>
        <w:keepNext w:val="0"/>
        <w:keepLines w:val="0"/>
        <w:pageBreakBefore w:val="0"/>
        <w:widowControl/>
        <w:kinsoku/>
        <w:wordWrap/>
        <w:topLinePunct w:val="0"/>
        <w:bidi w:val="0"/>
        <w:snapToGrid/>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1、打好全民参保“主动仗”，完善多层次医保制度体系。一是基本医保参保筹资有力。</w:t>
      </w:r>
      <w:r>
        <w:rPr>
          <w:rFonts w:hint="eastAsia" w:eastAsia="仿宋" w:cs="Times New Roman"/>
          <w:sz w:val="32"/>
          <w:szCs w:val="32"/>
          <w:lang w:eastAsia="zh-CN"/>
        </w:rPr>
        <w:t>2024年</w:t>
      </w:r>
      <w:r>
        <w:rPr>
          <w:rFonts w:hint="eastAsia" w:ascii="Times New Roman" w:hAnsi="Times New Roman" w:eastAsia="仿宋" w:cs="Times New Roman"/>
          <w:sz w:val="32"/>
          <w:szCs w:val="32"/>
        </w:rPr>
        <w:t>，居民医保参保（含财政全额代缴）546.6万人，全市常住人口参保覆盖率稳定在95%以上，困难群众100%参保；二是医保助力乡村振兴落实有力。城乡居民医保普通门诊的报销比例提高到70%，大病保险比例提高5个百分点；两病就诊364707人，就诊近88.07万人次，药品费用 14805.26 万元，基金支出9512.59万元；1.7万人纳入乡村振兴监测对象参保，稳定脱贫人口近28万人，特困人员参保40963人，低保对象参保169588人，纳入民政部门低保边缘家庭对象参保18864人，重度残疾人参保135830人，医疗救助资助参保38.26万人，资助金额9788.71万元。三是两病”门诊用药保障推进有力。衡阳全市高血压待遇享受人数12.42万人，待遇享受70万人次，医疗费总额8429.85万元，统筹基金支出5382.63万元，符合范围金额8069.11万元；糖尿病待遇享受人数6.16万人，待遇享受36.67万人次，医疗费用总额1.05亿，统筹基金支出6735万，符合范围金额1.01亿元。</w:t>
      </w:r>
    </w:p>
    <w:p w14:paraId="79FDE0D4">
      <w:pPr>
        <w:pStyle w:val="8"/>
        <w:keepNext w:val="0"/>
        <w:keepLines w:val="0"/>
        <w:pageBreakBefore w:val="0"/>
        <w:widowControl/>
        <w:kinsoku/>
        <w:wordWrap/>
        <w:topLinePunct w:val="0"/>
        <w:bidi w:val="0"/>
        <w:snapToGrid/>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探好支付改革“领先路”，深化医疗保障领域各项改革。一是提前启动DRG实际付费。成立DRG工作专班，制定出台《衡阳市DRG付费医疗保障经办管理规程（试行）》，加强政策宣传与培训，建立了经办机构月安排、周调度、日督办的工作机制，7月1日，全市首批50家试点医疗机构正式启动DRG支付方式实际付费，率先实现DRG结算系统与核心经办结算系统对接成功。50家试点医疗机构住院次均费用同比下降4.2%，其中，南华附一7月次均费用下降了26%，参保人员自付比例同比下降7.25%。</w:t>
      </w:r>
    </w:p>
    <w:p w14:paraId="5AF152F8">
      <w:pPr>
        <w:pStyle w:val="8"/>
        <w:keepNext w:val="0"/>
        <w:keepLines w:val="0"/>
        <w:pageBreakBefore w:val="0"/>
        <w:widowControl/>
        <w:kinsoku/>
        <w:wordWrap/>
        <w:topLinePunct w:val="0"/>
        <w:bidi w:val="0"/>
        <w:snapToGrid/>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3、用好基金监管“组合拳”，持续巩固打击欺诈骗保高压态势。市医保局严格对照省局和市委市政府的工作安排，积极创新监管方式，持续加大打击欺诈骗保工作力度，对各类欺诈骗保行为落实“零容忍”，全力守好广大群众的“看病钱”“救命钱”。一是开展专项整治。根据市委、市政府交办的问题线索，大力开展专项整治工作，对全市的40家定点医药机构（36家医疗机构和4家药店）开展现场核查工作，重点对检查检验、康复理疗、骨科、心血管内科、血液净化、麻精药品等相关领域进行检查。二是积极参与飞行检查工作。充分调动各县市区局监管专业人员积极参与国、省监管飞行检查，以查代训，努力提升监管队伍能力水平，充分发挥飞行检查示范引领作用。4月份，在全市范围组织开展了“安全规范用基金，守好人民看病钱”为主题的基金监管集中宣传月活动。全市共发放传单、手册等宣传资料780560份，发送短信383000条，制作海报、展板、横幅10250条。</w:t>
      </w:r>
    </w:p>
    <w:p w14:paraId="2236469B">
      <w:pPr>
        <w:pStyle w:val="8"/>
        <w:keepNext w:val="0"/>
        <w:keepLines w:val="0"/>
        <w:pageBreakBefore w:val="0"/>
        <w:widowControl/>
        <w:kinsoku/>
        <w:wordWrap/>
        <w:topLinePunct w:val="0"/>
        <w:bidi w:val="0"/>
        <w:snapToGrid/>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4</w:t>
      </w:r>
      <w:r>
        <w:rPr>
          <w:rFonts w:hint="eastAsia" w:ascii="Times New Roman" w:hAnsi="Times New Roman" w:eastAsia="仿宋" w:cs="Times New Roman"/>
          <w:sz w:val="32"/>
          <w:szCs w:val="32"/>
        </w:rPr>
        <w:t>、完善四级经办体系建设。按照统一规范标识和形象，推行宣传栏、窗口、职责、制度、标识“五统一”，配备电脑、打印机等办公设备，实现专门窗口、专门人员、专门设备，依托已有县（市、区）政务服务中心，乡（村）便民服务中心，县级设立医保中心，乡级设立医保服务站，村级设立医保服务点，建成了横到底、纵到边、全覆盖的医保经办服务网络，构建“15分钟服务圈”。全市187个乡镇（街道）医保服务站、2775个村（社区）医保服务点实现了提供参保登记、信息查询及变更、异地就医备案等事项直办或帮代办服务100%覆盖。</w:t>
      </w:r>
    </w:p>
    <w:p w14:paraId="7C20DD29">
      <w:pPr>
        <w:pStyle w:val="8"/>
        <w:keepNext w:val="0"/>
        <w:keepLines w:val="0"/>
        <w:pageBreakBefore w:val="0"/>
        <w:widowControl/>
        <w:kinsoku/>
        <w:wordWrap/>
        <w:topLinePunct w:val="0"/>
        <w:bidi w:val="0"/>
        <w:snapToGrid/>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5</w:t>
      </w:r>
      <w:r>
        <w:rPr>
          <w:rFonts w:hint="eastAsia" w:ascii="Times New Roman" w:hAnsi="Times New Roman" w:eastAsia="仿宋" w:cs="Times New Roman"/>
          <w:sz w:val="32"/>
          <w:szCs w:val="32"/>
        </w:rPr>
        <w:t>、开展生育备案和异地就医转诊备案“一站式”服务。积极推进便民服务，将生育备案、特门特药审批下沉至定点医疗机构；确定了南华大学附一医院等11家医院作为异地就医转诊定点医疗机构，为确需向上级医院转诊转院的参保人员直接办理转诊备案手续，办理后即刻生效，无需医保经办机构审核，解决了医院和医保“两头跑”、耗时费力等问题；取消特殊门诊、普通门诊就医购药定点限制，提升了群众医保获得感。</w:t>
      </w:r>
    </w:p>
    <w:p w14:paraId="382A8EEA">
      <w:pPr>
        <w:pStyle w:val="8"/>
        <w:keepNext w:val="0"/>
        <w:keepLines w:val="0"/>
        <w:pageBreakBefore w:val="0"/>
        <w:widowControl/>
        <w:kinsoku/>
        <w:wordWrap/>
        <w:topLinePunct w:val="0"/>
        <w:bidi w:val="0"/>
        <w:snapToGrid/>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6</w:t>
      </w:r>
      <w:r>
        <w:rPr>
          <w:rFonts w:hint="eastAsia" w:ascii="Times New Roman" w:hAnsi="Times New Roman" w:eastAsia="仿宋" w:cs="Times New Roman"/>
          <w:sz w:val="32"/>
          <w:szCs w:val="32"/>
        </w:rPr>
        <w:t>、扎实推进医疗保障能力建设。重点加强医保信息平台建设，进一步深化平台的功能应用和运行维护。组织全市3321家定点医药机构开展了医保信息系统对接应用情况自查，全面摸清全市医药机构医保信息系统对接和实际应用情况，督促两定机构及时完成机构信息系统改造；全面推进加快医保电子凭证在我市两定机构的落地应用。及时对接协调湖南银行衡阳市分行，推进我市职工门诊统筹结算、DRG第三方咨询服务等信息化建设项目落地。</w:t>
      </w:r>
    </w:p>
    <w:p w14:paraId="18331DDA">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left="0" w:leftChars="0" w:firstLine="640" w:firstLineChars="200"/>
        <w:jc w:val="both"/>
        <w:textAlignment w:val="baseline"/>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7</w:t>
      </w:r>
      <w:r>
        <w:rPr>
          <w:rFonts w:hint="eastAsia" w:ascii="Times New Roman" w:hAnsi="Times New Roman" w:eastAsia="仿宋" w:cs="Times New Roman"/>
          <w:sz w:val="32"/>
          <w:szCs w:val="32"/>
        </w:rPr>
        <w:t>、村级卫生室门诊直报全覆盖。为加快全面推进村级医保门诊统筹工作，最大限度减轻群众医疗支出负担，不断提升群众看病就医的满意度，全市医保部门积极作为，专题研究部署，组建工作专班，压实工作责任，在时间节点前全面完成村级卫生室医保定点全覆盖任务。截至7月19日，全市村卫生室已开通医保赋码2337家，完成核定任务率106.42%，提前7天超额完成省里下达2220家的任务数，全面完成省委市委关于行政村卫生室医保定点全覆盖的工作要求。</w:t>
      </w:r>
    </w:p>
    <w:p w14:paraId="148B9546">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left="0" w:leftChars="0" w:firstLine="640" w:firstLineChars="200"/>
        <w:jc w:val="both"/>
        <w:textAlignment w:val="baseline"/>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val="en" w:eastAsia="zh-CN"/>
        </w:rPr>
        <w:t>推广“智慧医保”，</w:t>
      </w:r>
      <w:r>
        <w:rPr>
          <w:rFonts w:hint="default" w:ascii="Times New Roman" w:hAnsi="Times New Roman" w:eastAsia="仿宋" w:cs="Times New Roman"/>
          <w:sz w:val="32"/>
          <w:szCs w:val="32"/>
          <w:lang w:val="en-US" w:eastAsia="zh-CN"/>
        </w:rPr>
        <w:t>提升“数字化”经办水平。一是在全省医保领域首推医保服务“码上懂”，扫描二维码即可获取异地就医备案、生育津贴支付等20个经办事项申请材料、办事指引、视频操作指引及政策解读，并可关联湘医保及办事厅直接申办相关事项。自该服务上线以来，扫码、关注达3万余人次。二是推行“提醒告知”服务，通过手机短信和湘医保公众号消息推送的方式，告知参保人办理“双通道”和特门待遇的相关消息或状态，避免了群众忘记待遇到期时间，能及时办理复审手续。</w:t>
      </w:r>
    </w:p>
    <w:p w14:paraId="4899F0B0">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left="0" w:leftChars="0" w:firstLine="643" w:firstLineChars="200"/>
        <w:jc w:val="both"/>
        <w:textAlignment w:val="baseline"/>
        <w:rPr>
          <w:rFonts w:hint="default" w:ascii="Times New Roman" w:hAnsi="Times New Roman" w:eastAsia="仿宋" w:cs="Times New Roman"/>
          <w:b/>
          <w:bCs/>
          <w:sz w:val="32"/>
          <w:szCs w:val="32"/>
          <w:lang w:val="en-US" w:eastAsia="zh-CN"/>
        </w:rPr>
      </w:pPr>
      <w:r>
        <w:rPr>
          <w:rFonts w:hint="eastAsia" w:ascii="Times New Roman" w:hAnsi="Times New Roman" w:eastAsia="仿宋" w:cs="Times New Roman"/>
          <w:b/>
          <w:bCs/>
          <w:sz w:val="32"/>
          <w:szCs w:val="32"/>
          <w:lang w:val="en-US" w:eastAsia="zh-CN"/>
        </w:rPr>
        <w:t>综合评价情况和评价结论</w:t>
      </w:r>
    </w:p>
    <w:p w14:paraId="44F83F89">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left="0" w:leftChars="0" w:firstLine="640" w:firstLineChars="200"/>
        <w:jc w:val="both"/>
        <w:textAlignment w:val="baseline"/>
        <w:rPr>
          <w:rFonts w:hint="default" w:ascii="仿宋" w:hAnsi="仿宋" w:eastAsia="仿宋" w:cs="仿宋"/>
          <w:sz w:val="32"/>
          <w:szCs w:val="32"/>
          <w:lang w:val="en-US" w:eastAsia="zh-CN"/>
        </w:rPr>
      </w:pPr>
      <w:r>
        <w:rPr>
          <w:rFonts w:hint="default" w:ascii="Times New Roman" w:hAnsi="Times New Roman" w:eastAsia="仿宋" w:cs="Times New Roman"/>
          <w:sz w:val="32"/>
          <w:szCs w:val="32"/>
          <w:lang w:val="en-US" w:eastAsia="zh-CN"/>
        </w:rPr>
        <w:t>按照部门整体支出绩效自评表确定的评分细则，通过对各项指标逐一评价，本单位部门整体支出绩效评价得分是：预算执行情况得分 10分，产出情况得分</w:t>
      </w:r>
      <w:r>
        <w:rPr>
          <w:rFonts w:hint="eastAsia" w:ascii="Times New Roman" w:hAnsi="Times New Roman" w:eastAsia="仿宋" w:cs="Times New Roman"/>
          <w:sz w:val="32"/>
          <w:szCs w:val="32"/>
          <w:lang w:val="en-US" w:eastAsia="zh-CN"/>
        </w:rPr>
        <w:t>38</w:t>
      </w:r>
      <w:r>
        <w:rPr>
          <w:rFonts w:hint="default" w:ascii="Times New Roman" w:hAnsi="Times New Roman" w:eastAsia="仿宋" w:cs="Times New Roman"/>
          <w:sz w:val="32"/>
          <w:szCs w:val="32"/>
          <w:lang w:val="en-US" w:eastAsia="zh-CN"/>
        </w:rPr>
        <w:t>分，效益情况得分</w:t>
      </w:r>
      <w:r>
        <w:rPr>
          <w:rFonts w:hint="eastAsia" w:ascii="Times New Roman" w:hAnsi="Times New Roman" w:eastAsia="仿宋" w:cs="Times New Roman"/>
          <w:sz w:val="32"/>
          <w:szCs w:val="32"/>
          <w:lang w:val="en-US" w:eastAsia="zh-CN"/>
        </w:rPr>
        <w:t>28</w:t>
      </w:r>
      <w:r>
        <w:rPr>
          <w:rFonts w:hint="default" w:ascii="Times New Roman" w:hAnsi="Times New Roman" w:eastAsia="仿宋" w:cs="Times New Roman"/>
          <w:sz w:val="32"/>
          <w:szCs w:val="32"/>
          <w:lang w:val="en-US" w:eastAsia="zh-CN"/>
        </w:rPr>
        <w:t>分，服务对象满意度得分</w:t>
      </w:r>
      <w:r>
        <w:rPr>
          <w:rFonts w:hint="eastAsia"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lang w:val="en-US" w:eastAsia="zh-CN"/>
        </w:rPr>
        <w:t>分</w:t>
      </w:r>
      <w:r>
        <w:rPr>
          <w:rFonts w:hint="eastAsia" w:ascii="Times New Roman" w:hAnsi="Times New Roman" w:eastAsia="仿宋" w:cs="Times New Roman"/>
          <w:sz w:val="32"/>
          <w:szCs w:val="32"/>
          <w:lang w:val="en-US" w:eastAsia="zh-CN"/>
        </w:rPr>
        <w:t>，成本情况得分10分，</w:t>
      </w:r>
      <w:r>
        <w:rPr>
          <w:rFonts w:hint="default" w:ascii="Times New Roman" w:hAnsi="Times New Roman" w:eastAsia="仿宋" w:cs="Times New Roman"/>
          <w:sz w:val="32"/>
          <w:szCs w:val="32"/>
          <w:lang w:val="en-US" w:eastAsia="zh-CN"/>
        </w:rPr>
        <w:t>总绩效为9</w:t>
      </w: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lang w:val="en-US" w:eastAsia="zh-CN"/>
        </w:rPr>
        <w:t>分。评价</w:t>
      </w:r>
      <w:r>
        <w:rPr>
          <w:rFonts w:hint="default" w:ascii="仿宋" w:hAnsi="仿宋" w:eastAsia="仿宋" w:cs="仿宋"/>
          <w:sz w:val="32"/>
          <w:szCs w:val="32"/>
          <w:lang w:val="en-US" w:eastAsia="zh-CN"/>
        </w:rPr>
        <w:t>结果等次为“ 优 ”。</w:t>
      </w:r>
    </w:p>
    <w:p w14:paraId="1FD108B9">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left="0" w:leftChars="0" w:firstLine="640" w:firstLineChars="200"/>
        <w:jc w:val="both"/>
        <w:textAlignment w:val="baseline"/>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七、存在的情况及问题</w:t>
      </w:r>
    </w:p>
    <w:p w14:paraId="320BF11A">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240" w:lineRule="auto"/>
        <w:ind w:left="0" w:leftChars="0" w:firstLine="640" w:firstLineChars="200"/>
        <w:jc w:val="left"/>
        <w:textAlignment w:val="baseline"/>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rPr>
        <w:t>绩效评价制度体系有待完善。</w:t>
      </w:r>
      <w:r>
        <w:rPr>
          <w:rFonts w:hint="eastAsia" w:ascii="仿宋" w:hAnsi="仿宋" w:eastAsia="仿宋" w:cs="仿宋"/>
          <w:sz w:val="32"/>
          <w:szCs w:val="32"/>
          <w:lang w:val="en-US" w:eastAsia="zh-CN"/>
        </w:rPr>
        <w:t>我局还是</w:t>
      </w:r>
      <w:r>
        <w:rPr>
          <w:rFonts w:hint="eastAsia" w:ascii="仿宋" w:hAnsi="仿宋" w:eastAsia="仿宋" w:cs="仿宋"/>
          <w:sz w:val="32"/>
          <w:szCs w:val="32"/>
        </w:rPr>
        <w:t>缺乏相关绩效评价的知识储备和工作经验，需进一步完善的绩效评价制度体系，相关工作仍在进一步探索中。（2）绩效评价结果运用有待加强。未能将绩效评价结果与资金分配相挂钩，对绩效评价结果运用不够充分。</w:t>
      </w:r>
    </w:p>
    <w:p w14:paraId="68DCE7C8">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left="0" w:leftChars="0" w:firstLine="640" w:firstLineChars="200"/>
        <w:jc w:val="both"/>
        <w:textAlignment w:val="baseline"/>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八、下一步改进措施</w:t>
      </w:r>
    </w:p>
    <w:p w14:paraId="4DF5A4B3">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firstLine="641" w:firstLineChars="200"/>
        <w:jc w:val="both"/>
        <w:textAlignment w:val="baseline"/>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pPr>
      <w:r>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t>（一）扎实推动各项医保待遇政策落地落实</w:t>
      </w:r>
    </w:p>
    <w:p w14:paraId="02899C74">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rPr>
          <w:rFonts w:hint="default" w:ascii="Nimbus Roman No9 L" w:hAnsi="Nimbus Roman No9 L" w:eastAsia="仿宋_GB2312" w:cs="Nimbus Roman No9 L"/>
          <w:sz w:val="32"/>
          <w:szCs w:val="32"/>
          <w:highlight w:val="none"/>
          <w:lang w:val="en-US" w:eastAsia="zh-CN"/>
        </w:rPr>
      </w:pPr>
      <w:r>
        <w:rPr>
          <w:rFonts w:hint="default" w:ascii="仿宋" w:hAnsi="仿宋" w:eastAsia="仿宋" w:cs="仿宋"/>
          <w:sz w:val="32"/>
          <w:szCs w:val="32"/>
          <w:lang w:val="en-US" w:eastAsia="zh-CN"/>
        </w:rPr>
        <w:t>严格落实</w:t>
      </w:r>
      <w:r>
        <w:rPr>
          <w:rFonts w:hint="eastAsia" w:ascii="仿宋" w:hAnsi="仿宋" w:eastAsia="仿宋" w:cs="仿宋"/>
          <w:sz w:val="32"/>
          <w:szCs w:val="32"/>
          <w:lang w:val="en-US" w:eastAsia="zh-CN"/>
        </w:rPr>
        <w:t>国、</w:t>
      </w:r>
      <w:r>
        <w:rPr>
          <w:rFonts w:hint="default" w:ascii="仿宋" w:hAnsi="仿宋" w:eastAsia="仿宋" w:cs="仿宋"/>
          <w:sz w:val="32"/>
          <w:szCs w:val="32"/>
          <w:lang w:val="en-US" w:eastAsia="zh-CN"/>
        </w:rPr>
        <w:t>省局各项医保制度，确保制度落地生根。下步</w:t>
      </w:r>
      <w:r>
        <w:rPr>
          <w:rFonts w:hint="default" w:ascii="仿宋" w:hAnsi="仿宋" w:eastAsia="仿宋" w:cs="仿宋"/>
          <w:sz w:val="32"/>
          <w:szCs w:val="32"/>
          <w:lang w:eastAsia="zh-CN"/>
        </w:rPr>
        <w:t>，</w:t>
      </w:r>
      <w:r>
        <w:rPr>
          <w:rFonts w:hint="default" w:ascii="仿宋" w:hAnsi="仿宋" w:eastAsia="仿宋" w:cs="仿宋"/>
          <w:sz w:val="32"/>
          <w:szCs w:val="32"/>
          <w:lang w:val="en-US" w:eastAsia="zh-CN"/>
        </w:rPr>
        <w:t>将</w:t>
      </w:r>
      <w:r>
        <w:rPr>
          <w:rFonts w:hint="default" w:ascii="仿宋" w:hAnsi="仿宋" w:eastAsia="仿宋" w:cs="仿宋"/>
          <w:sz w:val="32"/>
          <w:szCs w:val="32"/>
          <w:lang w:eastAsia="zh-CN"/>
        </w:rPr>
        <w:t>进一步健全工作机制，细化工作举措，加强改革系统集成和协同高效，切实把制度优势转化为治理效能，推动我市医疗保障事业高质量发展。</w:t>
      </w:r>
    </w:p>
    <w:p w14:paraId="526BA401">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firstLine="641" w:firstLineChars="200"/>
        <w:jc w:val="both"/>
        <w:textAlignment w:val="baseline"/>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pPr>
      <w:r>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t>（二）有序推进医药集采提质增效</w:t>
      </w:r>
    </w:p>
    <w:p w14:paraId="131C9A23">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完善相关配套机制，促进集采提质增效，并做好药品挂网价格联动。落实好《关于实施医保基金直接结算集中带量采购中选产品医药货款的通知》，确保全市定点公立医疗机构通过招采管理系统采购的集中带量采购中选产品货款，全部纳入直接结算范围。</w:t>
      </w:r>
    </w:p>
    <w:p w14:paraId="78728963">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firstLine="641" w:firstLineChars="200"/>
        <w:jc w:val="both"/>
        <w:textAlignment w:val="baseline"/>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pPr>
      <w:r>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t>（三）深入开展打击欺诈骗保活动</w:t>
      </w:r>
    </w:p>
    <w:p w14:paraId="70BF77A7">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结合医疗领域腐败问题集中整治专项行动开展好我市集中整治工作，重点把医保基金使用、医保目录管理、医药集采等纳入整治范围。聚焦重点领域，强化稽核，全力推进我市医保领域打击欺诈骗保专项整治工作。</w:t>
      </w:r>
    </w:p>
    <w:p w14:paraId="2EBB8140">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firstLine="641" w:firstLineChars="200"/>
        <w:jc w:val="both"/>
        <w:textAlignment w:val="baseline"/>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pPr>
      <w:r>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t>（四）深入推进医保信息化建设和应用</w:t>
      </w:r>
    </w:p>
    <w:p w14:paraId="7350D8D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jc w:val="both"/>
        <w:textAlignment w:val="auto"/>
        <w:rPr>
          <w:rFonts w:hint="default" w:ascii="Nimbus Roman No9 L" w:hAnsi="Nimbus Roman No9 L" w:eastAsia="仿宋_GB2312" w:cs="Nimbus Roman No9 L"/>
          <w:sz w:val="32"/>
          <w:szCs w:val="32"/>
          <w:highlight w:val="none"/>
          <w:lang w:val="en-US" w:eastAsia="zh-CN"/>
        </w:rPr>
      </w:pPr>
      <w:r>
        <w:rPr>
          <w:rFonts w:hint="default" w:ascii="仿宋" w:hAnsi="仿宋" w:eastAsia="仿宋" w:cs="仿宋"/>
          <w:sz w:val="32"/>
          <w:szCs w:val="32"/>
          <w:lang w:val="en-US" w:eastAsia="zh-CN"/>
        </w:rPr>
        <w:t>加强基层服务平台建设，为经办服务向基层下沉提供技术支持。加强系统应用的宣传、培训与指导，特别是在医保移动支付、医保电子凭证、电子处方应用等便民措施方面，要切实把已有功能用好用足。进一步加强系统安全、网络安全、数据安全，从制度和技术层面形成制约机制，全面加强安全防控。</w:t>
      </w:r>
    </w:p>
    <w:p w14:paraId="0017D276">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firstLine="641" w:firstLineChars="200"/>
        <w:jc w:val="both"/>
        <w:textAlignment w:val="baseline"/>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pPr>
      <w:r>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t>（五）积极推进DRG支付方式改革</w:t>
      </w:r>
    </w:p>
    <w:p w14:paraId="1FF48021">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jc w:val="both"/>
        <w:textAlignment w:val="auto"/>
        <w:rPr>
          <w:rFonts w:hint="default" w:ascii="Nimbus Roman No9 L" w:hAnsi="Nimbus Roman No9 L" w:eastAsia="仿宋_GB2312" w:cs="Nimbus Roman No9 L"/>
          <w:b w:val="0"/>
          <w:bCs w:val="0"/>
          <w:sz w:val="32"/>
          <w:szCs w:val="32"/>
        </w:rPr>
      </w:pPr>
      <w:r>
        <w:rPr>
          <w:rFonts w:hint="default" w:ascii="仿宋" w:hAnsi="仿宋" w:eastAsia="仿宋" w:cs="仿宋"/>
          <w:sz w:val="32"/>
          <w:szCs w:val="32"/>
          <w:lang w:val="en-US" w:eastAsia="zh-CN"/>
        </w:rPr>
        <w:t>一是坚持统筹推进，夯实改革基础，确定改革统一标准。二是组织工作人员前往其他城市开展考察调研，就DRG本地化权重确定、基金预算、协议管理、经办规程等方面调研学习，充分吸收兄弟省市先进经验和做法。三是建立协商机制，充分听取医院意见建议，及时对标修正纠偏，主动解决运行过程中存在的问题，实现医保医院同频共振、同向而行。</w:t>
      </w:r>
    </w:p>
    <w:p w14:paraId="4F288CAE">
      <w:pPr>
        <w:keepNext w:val="0"/>
        <w:keepLines w:val="0"/>
        <w:pageBreakBefore w:val="0"/>
        <w:widowControl/>
        <w:numPr>
          <w:ilvl w:val="0"/>
          <w:numId w:val="0"/>
        </w:numPr>
        <w:pBdr>
          <w:bottom w:val="single" w:color="FFFFFF" w:sz="4" w:space="31"/>
        </w:pBdr>
        <w:tabs>
          <w:tab w:val="left" w:pos="1440"/>
        </w:tabs>
        <w:kinsoku/>
        <w:wordWrap/>
        <w:overflowPunct w:val="0"/>
        <w:topLinePunct w:val="0"/>
        <w:autoSpaceDE/>
        <w:autoSpaceDN/>
        <w:bidi w:val="0"/>
        <w:adjustRightInd/>
        <w:snapToGrid/>
        <w:spacing w:line="560" w:lineRule="exact"/>
        <w:ind w:firstLine="641" w:firstLineChars="200"/>
        <w:jc w:val="both"/>
        <w:textAlignment w:val="baseline"/>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pPr>
      <w:r>
        <w:rPr>
          <w:rFonts w:hint="default" w:ascii="Nimbus Roman No9 L" w:hAnsi="Nimbus Roman No9 L" w:eastAsia="华文楷体" w:cs="Nimbus Roman No9 L"/>
          <w:b/>
          <w:bCs/>
          <w:color w:val="auto"/>
          <w:kern w:val="2"/>
          <w:sz w:val="32"/>
          <w:szCs w:val="32"/>
          <w:highlight w:val="none"/>
          <w:shd w:val="clear" w:color="auto" w:fill="auto"/>
          <w:lang w:val="en-US" w:eastAsia="zh-CN" w:bidi="ar-SA"/>
        </w:rPr>
        <w:t>（六）加强医保政策宣传</w:t>
      </w:r>
    </w:p>
    <w:p w14:paraId="0DC73304">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kern w:val="0"/>
          <w:sz w:val="32"/>
          <w:szCs w:val="32"/>
        </w:rPr>
      </w:pPr>
      <w:r>
        <w:rPr>
          <w:rFonts w:hint="default" w:ascii="仿宋" w:hAnsi="仿宋" w:eastAsia="仿宋" w:cs="仿宋"/>
          <w:sz w:val="32"/>
          <w:szCs w:val="32"/>
          <w:lang w:val="en-US" w:eastAsia="zh-CN"/>
        </w:rPr>
        <w:t>持续做好医保政策宣传工作，拓宽宣传渠道，以群众喜闻乐见的方式推进医保政策宣传活动，让医保宣传更接地气，群众参保更有底气，让各项惠民政策真正深入人心。不断扩大群众参保缴费积极性，增强参保群众的幸福感和获得感。</w:t>
      </w:r>
    </w:p>
    <w:p w14:paraId="186B10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086A55-D6DC-4612-A49D-6911E1B861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365517FB-E9A4-4691-AAC2-9BDE55881519}"/>
  </w:font>
  <w:font w:name="方正小标宋简体">
    <w:panose1 w:val="03000509000000000000"/>
    <w:charset w:val="86"/>
    <w:family w:val="auto"/>
    <w:pitch w:val="default"/>
    <w:sig w:usb0="00000001" w:usb1="080E0000" w:usb2="00000000" w:usb3="00000000" w:csb0="00040000" w:csb1="00000000"/>
    <w:embedRegular r:id="rId3" w:fontKey="{F8812FBD-1F19-453C-A89F-3D87ABF19B9E}"/>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embedRegular r:id="rId4" w:fontKey="{1680C459-A2A2-48DB-8081-B12EE12FA13C}"/>
  </w:font>
  <w:font w:name="楷体">
    <w:panose1 w:val="02010609060101010101"/>
    <w:charset w:val="86"/>
    <w:family w:val="modern"/>
    <w:pitch w:val="default"/>
    <w:sig w:usb0="800002BF" w:usb1="38CF7CFA" w:usb2="00000016" w:usb3="00000000" w:csb0="00040001" w:csb1="00000000"/>
    <w:embedRegular r:id="rId5" w:fontKey="{D037AC25-0EB0-482B-8B0C-06AE685F90E9}"/>
  </w:font>
  <w:font w:name="Nimbus Roman No9 L">
    <w:altName w:val="微软雅黑"/>
    <w:panose1 w:val="00000000000000000000"/>
    <w:charset w:val="00"/>
    <w:family w:val="auto"/>
    <w:pitch w:val="default"/>
    <w:sig w:usb0="00000000" w:usb1="00000000" w:usb2="00000000" w:usb3="00000000" w:csb0="00040001" w:csb1="00000000"/>
    <w:embedRegular r:id="rId6" w:fontKey="{4B11021D-01C1-4094-985D-56E55D62AAF9}"/>
  </w:font>
  <w:font w:name="方正全福体">
    <w:altName w:val="宋体"/>
    <w:panose1 w:val="02000500000000000000"/>
    <w:charset w:val="86"/>
    <w:family w:val="auto"/>
    <w:pitch w:val="default"/>
    <w:sig w:usb0="00000000" w:usb1="00000000" w:usb2="00000012" w:usb3="00000000" w:csb0="00040001" w:csb1="00000000"/>
  </w:font>
  <w:font w:name="华文楷体">
    <w:panose1 w:val="02010600040101010101"/>
    <w:charset w:val="86"/>
    <w:family w:val="auto"/>
    <w:pitch w:val="default"/>
    <w:sig w:usb0="00000287" w:usb1="080F0000" w:usb2="00000000" w:usb3="00000000" w:csb0="0004009F" w:csb1="DFD70000"/>
    <w:embedRegular r:id="rId7" w:fontKey="{51330EC0-595D-465A-A03F-3B61008B66B4}"/>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55767B"/>
    <w:multiLevelType w:val="singleLevel"/>
    <w:tmpl w:val="E155767B"/>
    <w:lvl w:ilvl="0" w:tentative="0">
      <w:start w:val="1"/>
      <w:numFmt w:val="chineseCounting"/>
      <w:suff w:val="nothing"/>
      <w:lvlText w:val="%1、"/>
      <w:lvlJc w:val="left"/>
      <w:rPr>
        <w:rFonts w:hint="eastAsia"/>
      </w:rPr>
    </w:lvl>
  </w:abstractNum>
  <w:abstractNum w:abstractNumId="1">
    <w:nsid w:val="FE33BE94"/>
    <w:multiLevelType w:val="singleLevel"/>
    <w:tmpl w:val="FE33BE94"/>
    <w:lvl w:ilvl="0" w:tentative="0">
      <w:start w:val="2"/>
      <w:numFmt w:val="chineseCounting"/>
      <w:suff w:val="nothing"/>
      <w:lvlText w:val="（%1）"/>
      <w:lvlJc w:val="left"/>
      <w:rPr>
        <w:rFonts w:hint="eastAsia"/>
      </w:rPr>
    </w:lvl>
  </w:abstractNum>
  <w:abstractNum w:abstractNumId="2">
    <w:nsid w:val="110AED0F"/>
    <w:multiLevelType w:val="singleLevel"/>
    <w:tmpl w:val="110AED0F"/>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11951EDB"/>
    <w:rsid w:val="02532B03"/>
    <w:rsid w:val="09E0252C"/>
    <w:rsid w:val="0F841BAC"/>
    <w:rsid w:val="11951EDB"/>
    <w:rsid w:val="15434CB8"/>
    <w:rsid w:val="17391B7C"/>
    <w:rsid w:val="2122698E"/>
    <w:rsid w:val="22D24D9C"/>
    <w:rsid w:val="2C0C60B8"/>
    <w:rsid w:val="2DF53CB4"/>
    <w:rsid w:val="303A1CAD"/>
    <w:rsid w:val="322D55F0"/>
    <w:rsid w:val="362665B8"/>
    <w:rsid w:val="36405F7D"/>
    <w:rsid w:val="3AF2381A"/>
    <w:rsid w:val="45DE784A"/>
    <w:rsid w:val="4A940CA7"/>
    <w:rsid w:val="5B8C73EB"/>
    <w:rsid w:val="5BBE4718"/>
    <w:rsid w:val="5C270E3F"/>
    <w:rsid w:val="5C287931"/>
    <w:rsid w:val="5F48187B"/>
    <w:rsid w:val="60A57456"/>
    <w:rsid w:val="62FF4669"/>
    <w:rsid w:val="64ED7912"/>
    <w:rsid w:val="66526535"/>
    <w:rsid w:val="6868227F"/>
    <w:rsid w:val="6E9575A3"/>
    <w:rsid w:val="6F97113A"/>
    <w:rsid w:val="74185868"/>
    <w:rsid w:val="74CE4179"/>
    <w:rsid w:val="78320EC2"/>
    <w:rsid w:val="7C601D98"/>
    <w:rsid w:val="7CE24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footer"/>
    <w:basedOn w:val="1"/>
    <w:next w:val="3"/>
    <w:autoRedefine/>
    <w:qFormat/>
    <w:uiPriority w:val="0"/>
    <w:pPr>
      <w:tabs>
        <w:tab w:val="center" w:pos="4153"/>
        <w:tab w:val="right" w:pos="8306"/>
      </w:tabs>
      <w:snapToGrid w:val="0"/>
      <w:jc w:val="left"/>
    </w:pPr>
    <w:rPr>
      <w:sz w:val="18"/>
    </w:rPr>
  </w:style>
  <w:style w:type="paragraph" w:styleId="3">
    <w:name w:val="index 5"/>
    <w:basedOn w:val="1"/>
    <w:next w:val="1"/>
    <w:autoRedefine/>
    <w:qFormat/>
    <w:uiPriority w:val="0"/>
    <w:pPr>
      <w:ind w:left="1680"/>
    </w:p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1857</Words>
  <Characters>2081</Characters>
  <Lines>0</Lines>
  <Paragraphs>0</Paragraphs>
  <TotalTime>261</TotalTime>
  <ScaleCrop>false</ScaleCrop>
  <LinksUpToDate>false</LinksUpToDate>
  <CharactersWithSpaces>2089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2024-03-21T00:54:00Z</dcterms:created>
  <dc:creator>奥利弗星</dc:creator>
  <cp:lastModifiedBy>WPS_1696900194</cp:lastModifiedBy>
  <dcterms:modified xsi:type="dcterms:W3CDTF">2025-09-29T01:22:55Z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5DE9CD208D6A41CEB46D3EFA12199F43_13</vt:lpwstr>
  </property>
  <property fmtid="{D5CDD505-2E9C-101B-9397-08002B2CF9AE}" pid="4" name="KSOTemplateDocerSaveRecord">
    <vt:lpwstr>eyJoZGlkIjoiYzA0ZjQ4YWE4YTQ4M2M2YTBmMzFlMGI3YjRkMDMwNjMiLCJ1c2VySWQiOiIxNTQ4NTYzMDk0In0=</vt:lpwstr>
  </property>
</Properties>
</file>